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462BE" w:rsidRDefault="00F462B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ПАМЯТКИ</w:t>
      </w: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РУКОВОДИТЕЛЕЙ, ПЕДАГОГОВ И РОДИТЕЛЕЙ</w:t>
      </w:r>
      <w:bookmarkStart w:id="0" w:name="_GoBack"/>
      <w:bookmarkEnd w:id="0"/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подготовке данного документа использованы материалы памяток, разработанных заведующей наркологическим диспансерным отделением государственного бюджетного учреждения здравоохран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ния Свердловской области «СОКПБ» филиала «Детство» -  Калуг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ной О.Р., и начальником Отдела координации работы по профилактике и борьбе с наркоманией  Администрации города Екатеринбург - </w:t>
      </w:r>
      <w:proofErr w:type="spellStart"/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Подраб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нок</w:t>
      </w:r>
      <w:proofErr w:type="spellEnd"/>
      <w:r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Н.В)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68E" w:rsidRPr="00F462BE" w:rsidRDefault="0075568E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462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Каждый человек должен входить в жизнь,  </w:t>
      </w:r>
    </w:p>
    <w:p w:rsidR="0075568E" w:rsidRPr="00F462BE" w:rsidRDefault="0075568E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462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умея сопротивляться вредному влиянию.</w:t>
      </w:r>
    </w:p>
    <w:p w:rsidR="0075568E" w:rsidRPr="00F462BE" w:rsidRDefault="0075568E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462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Нужно не оберегать человека  от вредного воздействия,</w:t>
      </w:r>
    </w:p>
    <w:p w:rsidR="0075568E" w:rsidRPr="00F462BE" w:rsidRDefault="0075568E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462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а учить его сопротивляться»</w:t>
      </w:r>
    </w:p>
    <w:p w:rsidR="0075568E" w:rsidRDefault="0075568E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А.С. Макаренко</w:t>
      </w:r>
    </w:p>
    <w:p w:rsidR="00496DCD" w:rsidRPr="00C45967" w:rsidRDefault="00496DCD" w:rsidP="00F462BE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 и педагоги!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2010 года из Китая в Россию идёт поток синтетических нарк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тиков. Наркотики эти чрезвычайно опасны, так как доступны, просты в употреблении, и действуют, в первую оч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редь, на психику ребёнка. 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Покупают эти наркотики подростки через Интернет или у сверстников. Они заходят на известные сайты (например,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 и т.д.), торгующие наркотиками, набирая в поисков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несколько ключевых слов, получают контакт, списываются через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45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ICQ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 произв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 заказ. 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оформления заказа  им сообщают номер счета для опл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ты. Как правило, оплату они производят  через платёжные терминалы. 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поступает сообщение, где можно  забрать спрятанные наркотики (на сленге  подростков это действие называется  «поднять закладку» или «найти клад»). 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того  чтобы понять, покупает ли Ваш ребенок наркот</w:t>
      </w:r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ки, достаточно проверить его переписку в телефоне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(она, скорее вс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не стирае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ся!).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распространенные среди молодежи наркотики – кур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 смеси JWH, которые являются синтетическими аналогами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набино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разы сильнее.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JWH заходит в Россию  в виде реагента (концентрата или 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рошка), который  похож на обычную соду. Действие наркотика может длиться от 20 минут до нескольких ч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сов. 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разводят разными способами, наносят  или опрыскивают  на «основу». Чаще всего, «основа» – обычная аптечная ромашка. Может быть,  «мать и мачеха» или любая аптечная трава, которую для вязк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иногда перемешивают в миксере с черносливом или табаком для каль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нов. Однако молодые потребители чаще всего берут готовый наркотик.</w:t>
      </w:r>
    </w:p>
    <w:p w:rsidR="0075568E" w:rsidRPr="00C45967" w:rsidRDefault="00496DCD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CBF0E" wp14:editId="3E1A76AB">
                <wp:simplePos x="0" y="0"/>
                <wp:positionH relativeFrom="column">
                  <wp:posOffset>600075</wp:posOffset>
                </wp:positionH>
                <wp:positionV relativeFrom="paragraph">
                  <wp:posOffset>1626235</wp:posOffset>
                </wp:positionV>
                <wp:extent cx="4548505" cy="838200"/>
                <wp:effectExtent l="0" t="0" r="23495" b="1905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48505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62BE" w:rsidRDefault="00F462BE" w:rsidP="00496DCD">
                            <w:pPr>
                              <w:ind w:left="-14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Ранние  признаки употребления наркотических средств</w:t>
                            </w:r>
                          </w:p>
                          <w:p w:rsidR="00F462BE" w:rsidRDefault="00F462BE" w:rsidP="00496DCD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left:0;text-align:left;margin-left:47.25pt;margin-top:128.05pt;width:358.15pt;height:6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">
                <v:textbox>
                  <w:txbxContent>
                    <w:p w:rsidR="00F462BE" w:rsidRDefault="00F462BE" w:rsidP="00496DCD">
                      <w:pPr>
                        <w:ind w:left="-14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Ранние  признаки употребления наркотических средств</w:t>
                      </w:r>
                    </w:p>
                    <w:p w:rsidR="00F462BE" w:rsidRDefault="00F462BE" w:rsidP="00496DCD">
                      <w:pPr>
                        <w:ind w:left="-142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распространенный способ употребления курительных смесей – маленькая </w:t>
      </w:r>
      <w:proofErr w:type="spellStart"/>
      <w:proofErr w:type="gramStart"/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proofErr w:type="gramEnd"/>
      <w:r w:rsidRPr="00496DC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астиковая</w:t>
      </w:r>
      <w:proofErr w:type="spellEnd"/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бутылочка с дыркой </w:t>
      </w:r>
      <w:r w:rsidR="0075568E"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такие бут</w:t>
      </w:r>
      <w:r w:rsidR="0075568E"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75568E" w:rsidRPr="00C459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лочки с прожженной дыркой находят в школьных туалетах, это самый верный признак того, что в школе употребляют наркотики!).</w:t>
      </w:r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эти  смеси курят через разные трубочки. Их, как правило, держат при себе (от них исходит неприятный запах). Зачастую, прежде чем зайти домой, подросток оставляет такую трубочку в подъезде (например, в электр</w:t>
      </w:r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68E"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ческом щитке). </w:t>
      </w: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Ранние  признаки</w:t>
      </w: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Ранними признаками употребления наркотических средств, нез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 от вида наркотического средства, могут быть следующие изм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в поведении, характ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и физиологии подростков: </w:t>
      </w:r>
    </w:p>
    <w:p w:rsidR="0075568E" w:rsidRPr="00C45967" w:rsidRDefault="0075568E" w:rsidP="00496DCD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исчезновения из дома,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интереса к учебе, труду и досугу,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пропуски занятий в школе,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успеваемости,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поведении (необоснованная агрессивность, озлобленность, замкнутость, изменение круга друзей, неряшливость),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отчужденность,  скрытность, лживость,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исчезновение ценных вещей и денег из дома, кражи, возни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новение долгов,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у подростка  пакетиков с неизвестными веществ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в лексиконе подростков новых жаргонных слов («трава»,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дживик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ляпка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т.д.),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 сна (бессонница или чрезвычайно продолжител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сон, 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желое пробуждение и засыпание, тяжелый сон),</w:t>
      </w:r>
    </w:p>
    <w:p w:rsidR="0075568E" w:rsidRPr="00496DCD" w:rsidRDefault="0075568E" w:rsidP="00496DCD">
      <w:pPr>
        <w:numPr>
          <w:ilvl w:val="0"/>
          <w:numId w:val="6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аппетита (резкое повышение аппетита или его 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сутствие, 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чрезвычайной жажды).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наличие у подростков  одного или нескольких из выше указанных  признаков не дает оснований утверждать, что подр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 употребляет наркотики. Всё это вместе должно побуждать родит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учителей и близких подростка принять пред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предительные меры.</w:t>
      </w:r>
    </w:p>
    <w:p w:rsidR="0075568E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967" w:rsidRPr="00C45967" w:rsidRDefault="00C45967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496DCD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389C" wp14:editId="753EABE9">
                <wp:simplePos x="0" y="0"/>
                <wp:positionH relativeFrom="column">
                  <wp:posOffset>218686</wp:posOffset>
                </wp:positionH>
                <wp:positionV relativeFrom="paragraph">
                  <wp:posOffset>117788</wp:posOffset>
                </wp:positionV>
                <wp:extent cx="5131435" cy="1023582"/>
                <wp:effectExtent l="0" t="0" r="12065" b="24765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1435" cy="102358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62BE" w:rsidRDefault="00F462BE" w:rsidP="0075568E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курительных смесей</w:t>
                            </w:r>
                          </w:p>
                          <w:p w:rsidR="00F462BE" w:rsidRPr="00221046" w:rsidRDefault="00F462BE" w:rsidP="0075568E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подростков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наблюдаются: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7" style="position:absolute;left:0;text-align:left;margin-left:17.2pt;margin-top:9.25pt;width:404.0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">
                <v:textbox>
                  <w:txbxContent>
                    <w:p w:rsidR="00F462BE" w:rsidRDefault="00F462BE" w:rsidP="0075568E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курительных смесей</w:t>
                      </w:r>
                    </w:p>
                    <w:p w:rsidR="00F462BE" w:rsidRPr="00221046" w:rsidRDefault="00F462BE" w:rsidP="0075568E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 подростков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наблюдаются:</w:t>
                      </w:r>
                    </w:p>
                  </w:txbxContent>
                </v:textbox>
              </v:oval>
            </w:pict>
          </mc:Fallback>
        </mc:AlternateConten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координации движения, 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дезориентация во времени и в пространстве,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интоксикации могут возникнуть неподвижность суставов или с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вашему 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бёнку),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зами, невпопад),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учащённый пульс,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смеха,</w:t>
      </w:r>
    </w:p>
    <w:p w:rsidR="0075568E" w:rsidRPr="00C45967" w:rsidRDefault="0075568E" w:rsidP="00F462BE">
      <w:pPr>
        <w:numPr>
          <w:ilvl w:val="0"/>
          <w:numId w:val="7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интоксикации могут возникнуть тошнота, рв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головокружение, потеря сознания, велика вероятность летального исх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496DCD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684C5" wp14:editId="14804B04">
                <wp:simplePos x="0" y="0"/>
                <wp:positionH relativeFrom="column">
                  <wp:posOffset>-311150</wp:posOffset>
                </wp:positionH>
                <wp:positionV relativeFrom="paragraph">
                  <wp:posOffset>-5715</wp:posOffset>
                </wp:positionV>
                <wp:extent cx="6365240" cy="772160"/>
                <wp:effectExtent l="0" t="0" r="16510" b="2794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62BE" w:rsidRPr="00CE3728" w:rsidRDefault="00F462BE" w:rsidP="0075568E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изнаки хронической интоксикации, то есть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дл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тельного упо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требления наркотических веществ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8" style="position:absolute;left:0;text-align:left;margin-left:-24.5pt;margin-top:-.45pt;width:501.2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">
                <v:textbox>
                  <w:txbxContent>
                    <w:p w:rsidR="00F462BE" w:rsidRPr="00CE3728" w:rsidRDefault="00F462BE" w:rsidP="0075568E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>Пр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изнаки хронической интоксикации, то есть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дл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тельного упо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требления наркотических веществ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496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упадок общего физического состояния,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потеря веса (за месяц до </w:t>
      </w:r>
      <w:smartTag w:uri="urn:schemas-microsoft-com:office:smarttags" w:element="metricconverter">
        <w:smartTagPr>
          <w:attr w:name="ProductID" w:val="10 кг"/>
        </w:smartTagPr>
        <w:r w:rsidRPr="00C459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кг</w:t>
        </w:r>
      </w:smartTag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концентрации внимания,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сна, 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апатия (не хочет учиться, посещать уроки, «всё лень»),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перепады настроения (могут быть вспышки немотивирова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агрессии, раздражительности, нетерпимости в адрес окружающих людей),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лживость,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резкий спад интеллектуальных возможностей, 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 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враньё</w:t>
      </w:r>
      <w:proofErr w:type="gram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26ED" w:rsidRDefault="009D26ED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6ED" w:rsidRDefault="009D26ED" w:rsidP="009D26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новые знакомые, о которых ребёнок не рассказ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вает, 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неопрятный внешний вид,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ворует деньги и вещи из дома и магазинов,</w:t>
      </w:r>
    </w:p>
    <w:p w:rsidR="0075568E" w:rsidRPr="00C45967" w:rsidRDefault="0075568E" w:rsidP="00F462BE">
      <w:pPr>
        <w:numPr>
          <w:ilvl w:val="0"/>
          <w:numId w:val="8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считает себя наркоманом…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Психостимуляторы</w:t>
      </w:r>
      <w:proofErr w:type="spellEnd"/>
      <w:r w:rsidR="00496DCD" w:rsidRPr="00496DC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солей  в молодежной среде также  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</w:t>
      </w:r>
      <w:proofErr w:type="gram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муляторы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:  МДПВ  («соли»,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легалка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«скорость», «свист» и т.д.). 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купают эти наркот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по той же схеме, что и JWH.  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Выглядит данный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психостимулятор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 кристаллический пор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шок, который очень похож на сахарную пудру и имеет ярко выраже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белый (иногда те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ный) цвет.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в доме, как правило, в туалете, в вентиляции, на балконе, под напольным покрытием, в постельном белье или в подъезде, на св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этаже. У каждого наркомана есть специальная коробочка или меш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чек, где хранятся шприцы, капли, и все,  что нужно для уп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требления. 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этих наркотиков заключается в их доступности и пр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стоте употребления (нюхают, реже курят, разводят в любой жидкости, пьют, но самое страшное – колют в вену). Очень сложно просчитать 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зу, при передозировках солями процент летального исхода зн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чительно выше, чем при передозировках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набиноидами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употреблении солей человек стремительно деградирует, и деградация эта имеет необратимые последствия. Если курительные см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 можно какое-то время употреблять незаметно, то 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начавшего</w:t>
      </w:r>
      <w:proofErr w:type="gram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 соли видно сразу. </w: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9D26ED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EC205" wp14:editId="29660FB0">
                <wp:simplePos x="0" y="0"/>
                <wp:positionH relativeFrom="column">
                  <wp:posOffset>81915</wp:posOffset>
                </wp:positionH>
                <wp:positionV relativeFrom="paragraph">
                  <wp:posOffset>59690</wp:posOffset>
                </wp:positionV>
                <wp:extent cx="5581650" cy="772160"/>
                <wp:effectExtent l="0" t="0" r="19050" b="2794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62BE" w:rsidRDefault="00F462BE" w:rsidP="0075568E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психостимуляторов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ю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даются:</w:t>
                            </w:r>
                          </w:p>
                          <w:p w:rsidR="00F462BE" w:rsidRPr="00CE3728" w:rsidRDefault="00F462BE" w:rsidP="0075568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9" style="position:absolute;left:0;text-align:left;margin-left:6.45pt;margin-top:4.7pt;width:439.5pt;height: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">
                <v:textbox>
                  <w:txbxContent>
                    <w:p w:rsidR="00F462BE" w:rsidRDefault="00F462BE" w:rsidP="0075568E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психостимуляторов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ю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даются:</w:t>
                      </w:r>
                    </w:p>
                    <w:p w:rsidR="00F462BE" w:rsidRPr="00CE3728" w:rsidRDefault="00F462BE" w:rsidP="0075568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5568E" w:rsidRPr="00C45967" w:rsidRDefault="0075568E" w:rsidP="00F462BE">
      <w:pPr>
        <w:tabs>
          <w:tab w:val="left" w:pos="2715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«дикий взгляд»,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обезвоживание,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артериального давления,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тревога, страх, ощущение, что за тобой следят, что за тобой пришли,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ги,</w:t>
      </w:r>
    </w:p>
    <w:p w:rsidR="0075568E" w:rsidRPr="00C45967" w:rsidRDefault="0075568E" w:rsidP="00401B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боли в груди,</w:t>
      </w:r>
      <w:r w:rsidR="00401B67" w:rsidRPr="00401B6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и зрительные галлюцинации,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tbl>
      <w:tblPr>
        <w:tblpPr w:leftFromText="180" w:rightFromText="180" w:vertAnchor="text" w:horzAnchor="margin" w:tblpXSpec="center" w:tblpY="2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977"/>
        <w:gridCol w:w="6095"/>
      </w:tblGrid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надп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 «стеновой рекл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 наркотиков 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кламирующих пр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дажу наркот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средств и психотро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Группировки 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«Алхим», «Соль»,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 синтетического происхожд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включенное или не включенное в Пер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прекурсоров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подлежащих ко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тролю в РФ, в форме п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рошка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Афган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«Афганка»,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Джараш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Staf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«Ляпка», 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наименования, указываемые в 2009-2010 году на этикетках, веществ синтетическ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происхождения, включенных или не вкл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ченных в Перечень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прекурсоров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лежащих контролю в РФ, смешанных с орг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ническими веществами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8" w:history="1">
              <w:r w:rsidRPr="00C4596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Белый</w:t>
              </w:r>
            </w:hyperlink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наркотическое вещество ЭФЕДРОН, к</w:t>
            </w: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торый  изготовляется кустарным способом из аптечных лекарств типа эфедрин,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солутан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др.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«Бошки»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марихуана, приготовленная смесь ве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хушек с листьями и остатками стебля, цветами или плодами, любых со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конопли, а также измельченные, просеянные верхушечные части конопли, без центрального стебля, вещество естественного прои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хождения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«Лег-с», 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«Лига», «ОПЕРА»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 синтетического происхожд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 не вкл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ченное в Перечень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жащих контролю в РФ.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Миксы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«Смеси»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синтетического происхожд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включенные или не включенные в Пер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прекурсоров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подлежащих ко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тролю в РФ, смешанные или не смешанные с 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неорганическими или органическими вещ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ствами (используемыми просто в качестве наполнителей)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«Пробн</w:t>
            </w: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любое вещество синтетического или естественного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жащих контролю в РФ,  небольшой массой, предлагаемое в целях установления постоянной группы приобретателей, либо в ц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введения в заблуждение и совершение в дальнейшем завладением денег без фактич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поставки вещества (наиболее распростр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ненная схема 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мана)</w:t>
            </w:r>
            <w:proofErr w:type="gramEnd"/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«План», «П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гашиш - специально приготовленная смесь отделенной смолы, пыльцы растения к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нопля или смесь, приготовленная путем обр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ботки верхушек растения конопля с разными наполнителями, спре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сованные в какую-либо форму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hyperlink r:id="rId9" w:history="1">
              <w:r w:rsidRPr="00C4596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Порох</w:t>
              </w:r>
            </w:hyperlink>
            <w:r w:rsidRPr="00C4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порошок эфедрина, медицинский пр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парат 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«Спайс»,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Дживиаш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«JWH»,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Дживик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«Смок»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 синтетического происхожд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включенное или не включенное в Пер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прекурсоров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подлежащих ко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тролю в РФ, являющееся любым производным либо аналогом наркотических сре</w:t>
            </w:r>
            <w:proofErr w:type="gram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 гр</w:t>
            </w:r>
            <w:proofErr w:type="gram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JWH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«Снег», «Кокс», «Кекс»,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Крэк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«Скорость», «Шус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рый», «Фен», «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порошкообразный наркотик, чаще всего кокаин, либо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амф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тамин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01B67" w:rsidRPr="00C45967" w:rsidTr="00401B67">
        <w:tc>
          <w:tcPr>
            <w:tcW w:w="392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«Тапки», «К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леса», «Кру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лые»</w:t>
            </w:r>
          </w:p>
        </w:tc>
        <w:tc>
          <w:tcPr>
            <w:tcW w:w="6095" w:type="dxa"/>
          </w:tcPr>
          <w:p w:rsidR="00401B67" w:rsidRPr="00C45967" w:rsidRDefault="00401B67" w:rsidP="00401B67">
            <w:pPr>
              <w:spacing w:after="0" w:line="240" w:lineRule="auto"/>
              <w:ind w:left="14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 синтетического происхожд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включенное или не включенное в Пер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чень наркотических средств, психотропных веществ и их </w:t>
            </w:r>
            <w:proofErr w:type="spellStart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прекурсоров</w:t>
            </w:r>
            <w:proofErr w:type="spellEnd"/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подлежащих ко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4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тролю в РФ, в форме таблеток</w:t>
            </w:r>
          </w:p>
        </w:tc>
      </w:tr>
    </w:tbl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невероятный прилив энергии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(желание двигаться, что-то 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лать, все действия, как правило, непродуктивны),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возникают бредовые идеи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что за ними ведётся слежка),</w:t>
      </w:r>
    </w:p>
    <w:p w:rsidR="0075568E" w:rsidRPr="00C45967" w:rsidRDefault="0075568E" w:rsidP="00F462BE">
      <w:pPr>
        <w:numPr>
          <w:ilvl w:val="0"/>
          <w:numId w:val="9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тяжелое проявление отравления (неуправляемая г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пертермия и развитие отека мозга). </w:t>
      </w:r>
    </w:p>
    <w:p w:rsidR="0075568E" w:rsidRPr="00C45967" w:rsidRDefault="0075568E" w:rsidP="00401B67">
      <w:pPr>
        <w:spacing w:after="100" w:afterAutospacing="1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температуры тела у больного свыше 40-41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º С</w:t>
      </w:r>
      <w:proofErr w:type="gram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 развиваются отек головного мозга, острая дыхательная и серде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но-сосудистая нед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статочность. Больной умирает через несколько часов.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«Стеновая реклама» наркотических средств </w:t>
      </w:r>
    </w:p>
    <w:p w:rsidR="0075568E" w:rsidRPr="00C45967" w:rsidRDefault="0075568E" w:rsidP="00F462BE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68E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информацию о распространении курительных смесей 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 подростки считывают со стен домов, когда видят надписи след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ющего содержания: 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«Алхим», «Соль»,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Авган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Джараш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C45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Staf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«Ляпки», «</w:t>
      </w:r>
      <w:hyperlink r:id="rId10" w:history="1">
        <w:r w:rsidRPr="00C459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Белый</w:t>
        </w:r>
      </w:hyperlink>
      <w:r w:rsidRPr="00C4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«Бошки», 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«Лег-с», 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Ашота РФ», «Лига», «ОПЕРА»,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Миксы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«Смеси», </w:t>
      </w:r>
      <w:r w:rsidRPr="00C4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«Пробники», 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«План», «Палыч», </w:t>
      </w:r>
      <w:r w:rsidRPr="00C4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hyperlink r:id="rId11" w:history="1">
        <w:r w:rsidRPr="00C459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Порох</w:t>
        </w:r>
      </w:hyperlink>
      <w:r w:rsidRPr="00C4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«Спайс»,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Дживиаш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C45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JWH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«Снег», «Та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ки».  </w:t>
      </w:r>
      <w:proofErr w:type="gramEnd"/>
    </w:p>
    <w:p w:rsidR="009B52B1" w:rsidRPr="00C45967" w:rsidRDefault="009B52B1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Рекламу наркотиков, размещённую на стенах зданий, заборов, иных строений можно рассматривать как один из путей склонения к 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треблению 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Этот вид пропаганды обращён к широкому и неопределённому кругу лиц, зачастую содержит только 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мобильного телефона, IC</w:t>
      </w:r>
      <w:r w:rsidRPr="00C45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ссылку на Интернет-сайт и еди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ственное слово «соли»,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миксы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зашифрованное выраж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для опытных потребителей, например, «тапки», то есть та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летки.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Управления ФСКН России по Свердловской обл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Администрации города Екатеринбурга разработали реестр надп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«стеновой рекламы» наркотиков, который позволяет получить  по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представление о том, аналогом каких натуральных наркотиков я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новые «дизайнерские» наркотики:  </w:t>
      </w: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68E" w:rsidRPr="00C45967" w:rsidRDefault="0075568E" w:rsidP="00F462BE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состав правоохранительных органов ориентирован на выявление надписей с рекламой наркотиков и представление данной информации в оперативную службу для принятия мер реагирования, т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как вынесение </w:t>
      </w:r>
      <w:proofErr w:type="gramStart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proofErr w:type="gramEnd"/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 зданий на удаление настенной рекламы и выявл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лиц, их разместивших.</w:t>
      </w:r>
    </w:p>
    <w:p w:rsidR="0075568E" w:rsidRDefault="0075568E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5967" w:rsidRDefault="00C45967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5967" w:rsidRDefault="00C45967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52B1" w:rsidRDefault="009B52B1" w:rsidP="009B52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52B1" w:rsidRDefault="009B52B1" w:rsidP="009B52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C45967" w:rsidRDefault="00C45967" w:rsidP="009B52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5967" w:rsidRDefault="00C45967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5967" w:rsidRDefault="00C45967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5967" w:rsidRPr="00897327" w:rsidRDefault="00C45967" w:rsidP="00F462BE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3FE8" w:rsidRDefault="002A3FE8" w:rsidP="00F462BE">
      <w:pPr>
        <w:spacing w:after="0" w:line="240" w:lineRule="auto"/>
        <w:ind w:left="142" w:firstLine="851"/>
      </w:pPr>
    </w:p>
    <w:sectPr w:rsidR="002A3FE8" w:rsidSect="009B52B1">
      <w:pgSz w:w="11906" w:h="16838"/>
      <w:pgMar w:top="1276" w:right="1558" w:bottom="1560" w:left="1418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9D" w:rsidRDefault="00CC4B9D" w:rsidP="009D26ED">
      <w:pPr>
        <w:spacing w:after="0" w:line="240" w:lineRule="auto"/>
      </w:pPr>
      <w:r>
        <w:separator/>
      </w:r>
    </w:p>
  </w:endnote>
  <w:endnote w:type="continuationSeparator" w:id="0">
    <w:p w:rsidR="00CC4B9D" w:rsidRDefault="00CC4B9D" w:rsidP="009D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9D" w:rsidRDefault="00CC4B9D" w:rsidP="009D26ED">
      <w:pPr>
        <w:spacing w:after="0" w:line="240" w:lineRule="auto"/>
      </w:pPr>
      <w:r>
        <w:separator/>
      </w:r>
    </w:p>
  </w:footnote>
  <w:footnote w:type="continuationSeparator" w:id="0">
    <w:p w:rsidR="00CC4B9D" w:rsidRDefault="00CC4B9D" w:rsidP="009D2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A94"/>
    <w:multiLevelType w:val="hybridMultilevel"/>
    <w:tmpl w:val="FDD2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1880"/>
    <w:multiLevelType w:val="hybridMultilevel"/>
    <w:tmpl w:val="3602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7B63"/>
    <w:multiLevelType w:val="hybridMultilevel"/>
    <w:tmpl w:val="94A06944"/>
    <w:lvl w:ilvl="0" w:tplc="F310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346D"/>
    <w:multiLevelType w:val="hybridMultilevel"/>
    <w:tmpl w:val="2B5A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87D7E"/>
    <w:multiLevelType w:val="hybridMultilevel"/>
    <w:tmpl w:val="220A24EE"/>
    <w:lvl w:ilvl="0" w:tplc="F3103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B11F7D"/>
    <w:multiLevelType w:val="hybridMultilevel"/>
    <w:tmpl w:val="8FCABB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98B0E94"/>
    <w:multiLevelType w:val="hybridMultilevel"/>
    <w:tmpl w:val="E062BC7A"/>
    <w:lvl w:ilvl="0" w:tplc="F31031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C83302"/>
    <w:multiLevelType w:val="hybridMultilevel"/>
    <w:tmpl w:val="04DA6F28"/>
    <w:lvl w:ilvl="0" w:tplc="F31031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1802A05"/>
    <w:multiLevelType w:val="hybridMultilevel"/>
    <w:tmpl w:val="7B2248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E6"/>
    <w:rsid w:val="000650DA"/>
    <w:rsid w:val="002A3FE8"/>
    <w:rsid w:val="00401B67"/>
    <w:rsid w:val="00496DCD"/>
    <w:rsid w:val="0075568E"/>
    <w:rsid w:val="009A75E6"/>
    <w:rsid w:val="009B52B1"/>
    <w:rsid w:val="009D26ED"/>
    <w:rsid w:val="00C45967"/>
    <w:rsid w:val="00CC4B9D"/>
    <w:rsid w:val="00F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6ED"/>
  </w:style>
  <w:style w:type="paragraph" w:styleId="a8">
    <w:name w:val="footer"/>
    <w:basedOn w:val="a"/>
    <w:link w:val="a9"/>
    <w:uiPriority w:val="99"/>
    <w:unhideWhenUsed/>
    <w:rsid w:val="009D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6ED"/>
  </w:style>
  <w:style w:type="paragraph" w:styleId="a8">
    <w:name w:val="footer"/>
    <w:basedOn w:val="a"/>
    <w:link w:val="a9"/>
    <w:uiPriority w:val="99"/>
    <w:unhideWhenUsed/>
    <w:rsid w:val="009D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novo.ru/term/%D0%91%D0%B5%D0%BB%D1%8B%D0%B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onovo.ru/term/%D0%9F%D0%BE%D1%80%D0%BE%D1%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ovonovo.ru/term/%D0%91%D0%B5%D0%BB%D1%8B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ovonovo.ru/term/%D0%9F%D0%BE%D1%80%D0%BE%D1%85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Литейная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2016-11-21T07:00:00Z</dcterms:created>
  <dcterms:modified xsi:type="dcterms:W3CDTF">2016-11-21T08:27:00Z</dcterms:modified>
</cp:coreProperties>
</file>